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8"/>
        <w:bidi w:val="0"/>
        <w:rPr/>
      </w:pPr>
      <w:r>
        <w:rPr/>
      </w:r>
    </w:p>
    <w:tbl>
      <w:tblPr>
        <w:tblW w:w="984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"/>
        <w:gridCol w:w="1652"/>
        <w:gridCol w:w="1502"/>
        <w:gridCol w:w="2156"/>
        <w:gridCol w:w="2157"/>
        <w:gridCol w:w="1853"/>
        <w:gridCol w:w="38"/>
        <w:gridCol w:w="40"/>
      </w:tblGrid>
      <w:tr>
        <w:trPr>
          <w:tblHeader w:val="true"/>
          <w:trHeight w:val="513" w:hRule="atLeast"/>
          <w:cantSplit w:val="true"/>
        </w:trPr>
        <w:tc>
          <w:tcPr>
            <w:tcW w:w="9768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20" w:after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290830</wp:posOffset>
                      </wp:positionV>
                      <wp:extent cx="2029460" cy="592455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9320" cy="59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Бланк организации-Заказчика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(наименование, реквизиты)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spacing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№</w:t>
                                  </w: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рег. исх. ______________</w:t>
                                  </w:r>
                                </w:p>
                              </w:txbxContent>
                            </wps:txbx>
                            <wps:bodyPr lIns="100800" rIns="100800" tIns="55080" bIns="550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white" stroked="f" o:allowincell="t" style="position:absolute;margin-left:-2.1pt;margin-top:22.9pt;width:159.75pt;height:46.6pt;mso-wrap-style:square;v-text-anchor:top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bidi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Бланк организации-Заказчика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(наименование, реквизиты)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№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рег. исх. ______________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">
                      <wp:simplePos x="0" y="0"/>
                      <wp:positionH relativeFrom="column">
                        <wp:posOffset>3423920</wp:posOffset>
                      </wp:positionH>
                      <wp:positionV relativeFrom="paragraph">
                        <wp:posOffset>329565</wp:posOffset>
                      </wp:positionV>
                      <wp:extent cx="2734310" cy="588010"/>
                      <wp:effectExtent l="0" t="0" r="0" b="0"/>
                      <wp:wrapSquare wrapText="bothSides"/>
                      <wp:docPr id="2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4200" cy="587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Руководителю ФБУ «Тюменский ЦСМ»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709"/>
                                      <w:tab w:val="left" w:pos="5445" w:leader="none"/>
                                      <w:tab w:val="right" w:pos="9142" w:leader="none"/>
                                    </w:tabs>
                                    <w:bidi w:val="0"/>
                                    <w:ind w:left="-360" w:right="0" w:firstLine="273"/>
                                    <w:rPr/>
                                  </w:pPr>
                                  <w:r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__________________________________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«___» _______________________20___г.</w:t>
                                  </w:r>
                                </w:p>
                              </w:txbxContent>
                            </wps:txbx>
                            <wps:bodyPr lIns="100800" rIns="100800" tIns="55080" bIns="550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path="m0,0l-2147483645,0l-2147483645,-2147483646l0,-2147483646xe" fillcolor="white" stroked="f" o:allowincell="t" style="position:absolute;margin-left:269.6pt;margin-top:25.95pt;width:215.25pt;height:46.25pt;mso-wrap-style:square;v-text-anchor:top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bidi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Руководителю ФБУ «Тюменский ЦСМ»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tabs>
                                <w:tab w:val="clear" w:pos="709"/>
                                <w:tab w:val="left" w:pos="5445" w:leader="none"/>
                                <w:tab w:val="right" w:pos="9142" w:leader="none"/>
                              </w:tabs>
                              <w:bidi w:val="0"/>
                              <w:ind w:left="-360" w:right="0" w:firstLine="273"/>
                              <w:rPr/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__________________________________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«___» _______________________20___г.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</w:r>
          </w:p>
        </w:tc>
      </w:tr>
      <w:tr>
        <w:trPr>
          <w:tblHeader w:val="true"/>
          <w:trHeight w:val="127" w:hRule="atLeast"/>
          <w:cantSplit w:val="true"/>
        </w:trPr>
        <w:tc>
          <w:tcPr>
            <w:tcW w:w="9768" w:type="dxa"/>
            <w:gridSpan w:val="6"/>
            <w:tcBorders/>
            <w:vAlign w:val="center"/>
          </w:tcPr>
          <w:p>
            <w:pPr>
              <w:pStyle w:val="Normal"/>
              <w:widowControl w:val="false"/>
              <w:bidi w:val="0"/>
              <w:spacing w:before="20" w:after="0"/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</w:r>
          </w:p>
          <w:p>
            <w:pPr>
              <w:pStyle w:val="Normal"/>
              <w:widowControl w:val="false"/>
              <w:bidi w:val="0"/>
              <w:spacing w:before="20"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Заявка на проведение проверки реализации методик измерений</w:t>
            </w:r>
          </w:p>
          <w:p>
            <w:pPr>
              <w:pStyle w:val="Normal"/>
              <w:widowControl w:val="false"/>
              <w:bidi w:val="0"/>
              <w:spacing w:before="20" w:after="0"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rPr>
                <w:rFonts w:cs="Times New Roman"/>
                <w:sz w:val="22"/>
                <w:szCs w:val="14"/>
              </w:rPr>
            </w:pPr>
            <w:r>
              <w:rPr>
                <w:rFonts w:cs="Times New Roman"/>
                <w:sz w:val="22"/>
                <w:szCs w:val="14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rPr>
                <w:rFonts w:cs="Times New Roman"/>
                <w:sz w:val="22"/>
                <w:szCs w:val="14"/>
              </w:rPr>
            </w:pPr>
            <w:r>
              <w:rPr>
                <w:rFonts w:cs="Times New Roman"/>
                <w:sz w:val="22"/>
                <w:szCs w:val="14"/>
              </w:rPr>
            </w:r>
          </w:p>
        </w:tc>
      </w:tr>
      <w:tr>
        <w:trPr>
          <w:trHeight w:val="400" w:hRule="atLeast"/>
          <w:cantSplit w:val="true"/>
        </w:trPr>
        <w:tc>
          <w:tcPr>
            <w:tcW w:w="9768" w:type="dxa"/>
            <w:gridSpan w:val="6"/>
            <w:tcBorders/>
            <w:vAlign w:val="center"/>
          </w:tcPr>
          <w:p>
            <w:pPr>
              <w:pStyle w:val="Paragraph"/>
              <w:widowControl w:val="false"/>
              <w:tabs>
                <w:tab w:val="clear" w:pos="709"/>
                <w:tab w:val="left" w:pos="2263" w:leader="none"/>
              </w:tabs>
              <w:suppressAutoHyphens w:val="true"/>
              <w:bidi w:val="0"/>
              <w:spacing w:before="120" w:after="0"/>
              <w:ind w:left="0" w:right="0" w:hanging="0"/>
              <w:jc w:val="left"/>
              <w:textAlignment w:val="baseline"/>
              <w:rPr/>
            </w:pPr>
            <w:r>
              <w:rPr>
                <w:rStyle w:val="Normaltextrun"/>
                <w:sz w:val="21"/>
                <w:szCs w:val="21"/>
              </w:rPr>
              <w:t>Просим Вас провести проверку реализации методики измерений узла учета газа регламентированной в документе: ГОСТ Р 8.740-2023, ГОСТ 8.611-2024,</w:t>
            </w:r>
            <w:r>
              <w:rPr>
                <w:rStyle w:val="Normaltextrun"/>
                <w:b w:val="false"/>
                <w:bCs w:val="false"/>
                <w:sz w:val="21"/>
                <w:szCs w:val="21"/>
              </w:rPr>
              <w:t xml:space="preserve"> </w:t>
            </w:r>
            <w:r>
              <w:rPr>
                <w:rStyle w:val="Normaltextrun"/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ГОСТ Р 8.995-2023</w:t>
            </w:r>
            <w:r>
              <w:rPr>
                <w:rStyle w:val="Normaltextrun"/>
                <w:sz w:val="21"/>
                <w:szCs w:val="21"/>
              </w:rPr>
              <w:t xml:space="preserve"> (или индивидуальной методике измерений, указать какой в графе 3)</w:t>
            </w:r>
          </w:p>
        </w:tc>
        <w:tc>
          <w:tcPr>
            <w:tcW w:w="38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bidi w:val="0"/>
              <w:snapToGrid w:val="false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</w:r>
          </w:p>
        </w:tc>
      </w:tr>
      <w:tr>
        <w:trPr>
          <w:trHeight w:val="900" w:hRule="atLeast"/>
          <w:cantSplit w:val="true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sz w:val="16"/>
                <w:szCs w:val="16"/>
                <w:highlight w:val="white"/>
              </w:rPr>
              <w:t>№</w:t>
            </w:r>
            <w:r>
              <w:rPr>
                <w:rFonts w:eastAsia="Times New Roman"/>
                <w:b/>
                <w:sz w:val="16"/>
                <w:szCs w:val="16"/>
                <w:highlight w:val="white"/>
              </w:rPr>
              <w:t xml:space="preserve"> </w:t>
            </w:r>
            <w:r>
              <w:rPr>
                <w:b/>
                <w:sz w:val="16"/>
                <w:szCs w:val="16"/>
                <w:highlight w:val="white"/>
              </w:rPr>
              <w:t>п/п</w:t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sz w:val="12"/>
                <w:szCs w:val="12"/>
                <w:highlight w:val="white"/>
              </w:rPr>
            </w:pPr>
            <w:r>
              <w:rPr>
                <w:b/>
                <w:sz w:val="12"/>
                <w:szCs w:val="12"/>
                <w:highlight w:val="white"/>
              </w:rPr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Наименование </w:t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объекта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Style31"/>
              <w:widowControl w:val="false"/>
              <w:bidi w:val="0"/>
              <w:spacing w:before="0" w:after="12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методики измерений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Вид работ:</w:t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1. Проверка реализации</w:t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методики измерений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/>
                <w:b/>
                <w:sz w:val="16"/>
                <w:szCs w:val="16"/>
                <w:highlight w:val="white"/>
              </w:rPr>
              <w:t xml:space="preserve"> </w:t>
            </w:r>
            <w:r>
              <w:rPr>
                <w:b/>
                <w:sz w:val="16"/>
                <w:szCs w:val="16"/>
                <w:highlight w:val="white"/>
              </w:rPr>
              <w:t>2. Установление (доверительных границ  погрешности)/(расширенной неопределенности)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rPr>
                <w:b/>
                <w:sz w:val="16"/>
                <w:szCs w:val="16"/>
                <w:shd w:fill="FFFFFF" w:val="clear"/>
              </w:rPr>
            </w:pPr>
            <w:r>
              <w:rPr>
                <w:b/>
                <w:sz w:val="16"/>
                <w:szCs w:val="16"/>
                <w:shd w:fill="FFFFFF" w:val="clear"/>
              </w:rPr>
              <w:t xml:space="preserve">Регистрационный номер </w:t>
            </w:r>
          </w:p>
          <w:p>
            <w:pPr>
              <w:pStyle w:val="Normal"/>
              <w:widowControl w:val="false"/>
              <w:suppressAutoHyphens w:val="false"/>
              <w:bidi w:val="0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 xml:space="preserve">в Федеральном информационном фонде по обеспечению единства измерений, присвоенный при аттестации методики измерений 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  <w:t>Место /Адрес выполнения работ</w:t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sz w:val="16"/>
                <w:szCs w:val="16"/>
                <w:highlight w:val="white"/>
              </w:rPr>
            </w:pPr>
            <w:r>
              <w:rPr>
                <w:b/>
                <w:sz w:val="16"/>
                <w:szCs w:val="16"/>
                <w:highlight w:val="white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sz w:val="14"/>
                <w:szCs w:val="14"/>
                <w:highlight w:val="white"/>
              </w:rPr>
            </w:pPr>
            <w:r>
              <w:rPr>
                <w:b/>
                <w:sz w:val="14"/>
                <w:szCs w:val="14"/>
                <w:highlight w:val="white"/>
              </w:rPr>
              <w:t>4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sz w:val="14"/>
                <w:szCs w:val="14"/>
                <w:highlight w:val="white"/>
                <w:lang w:val="en-US"/>
              </w:rPr>
            </w:pPr>
            <w:r>
              <w:rPr>
                <w:sz w:val="14"/>
                <w:szCs w:val="14"/>
                <w:highlight w:val="white"/>
                <w:lang w:val="en-US"/>
              </w:rPr>
              <w:t>5</w:t>
            </w:r>
          </w:p>
        </w:tc>
        <w:tc>
          <w:tcPr>
            <w:tcW w:w="1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Style29"/>
                <w:vanish w:val="false"/>
                <w:sz w:val="14"/>
                <w:szCs w:val="14"/>
                <w:highlight w:val="white"/>
                <w:lang w:val="en-US"/>
              </w:rPr>
              <w:t>6</w:t>
            </w:r>
          </w:p>
        </w:tc>
      </w:tr>
      <w:tr>
        <w:trPr>
          <w:trHeight w:val="385" w:hRule="atLeast"/>
          <w:cantSplit w:val="true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b/>
                <w:sz w:val="14"/>
                <w:szCs w:val="14"/>
                <w:highlight w:val="white"/>
                <w:lang w:val="en-US"/>
              </w:rPr>
            </w:pPr>
            <w:r>
              <w:rPr>
                <w:b/>
                <w:sz w:val="14"/>
                <w:szCs w:val="14"/>
                <w:highlight w:val="white"/>
                <w:lang w:val="en-US"/>
              </w:rPr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b/>
                <w:sz w:val="14"/>
                <w:szCs w:val="14"/>
                <w:highlight w:val="white"/>
                <w:lang w:val="en-US"/>
              </w:rPr>
            </w:pPr>
            <w:r>
              <w:rPr>
                <w:b/>
                <w:sz w:val="14"/>
                <w:szCs w:val="14"/>
                <w:highlight w:val="white"/>
                <w:lang w:val="en-US"/>
              </w:rPr>
            </w:r>
          </w:p>
        </w:tc>
        <w:tc>
          <w:tcPr>
            <w:tcW w:w="150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b/>
                <w:sz w:val="14"/>
                <w:szCs w:val="14"/>
                <w:highlight w:val="white"/>
                <w:lang w:val="en-US"/>
              </w:rPr>
            </w:pPr>
            <w:r>
              <w:rPr>
                <w:b/>
                <w:sz w:val="14"/>
                <w:szCs w:val="14"/>
                <w:highlight w:val="white"/>
                <w:lang w:val="en-US"/>
              </w:rPr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b/>
                <w:sz w:val="14"/>
                <w:szCs w:val="14"/>
                <w:highlight w:val="white"/>
                <w:lang w:val="en-US"/>
              </w:rPr>
            </w:pPr>
            <w:r>
              <w:rPr>
                <w:b/>
                <w:sz w:val="14"/>
                <w:szCs w:val="14"/>
                <w:highlight w:val="white"/>
                <w:lang w:val="en-US"/>
              </w:rPr>
            </w:r>
          </w:p>
        </w:tc>
        <w:tc>
          <w:tcPr>
            <w:tcW w:w="2157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b/>
                <w:sz w:val="14"/>
                <w:szCs w:val="14"/>
                <w:highlight w:val="white"/>
                <w:lang w:val="en-US"/>
              </w:rPr>
            </w:pPr>
            <w:r>
              <w:rPr>
                <w:b/>
                <w:sz w:val="14"/>
                <w:szCs w:val="14"/>
                <w:highlight w:val="white"/>
                <w:lang w:val="en-US"/>
              </w:rPr>
            </w:r>
          </w:p>
        </w:tc>
        <w:tc>
          <w:tcPr>
            <w:tcW w:w="19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b/>
                <w:sz w:val="14"/>
                <w:szCs w:val="14"/>
                <w:highlight w:val="white"/>
                <w:lang w:val="en-US"/>
              </w:rPr>
            </w:pPr>
            <w:r>
              <w:rPr>
                <w:b/>
                <w:sz w:val="14"/>
                <w:szCs w:val="14"/>
                <w:highlight w:val="white"/>
                <w:lang w:val="en-US"/>
              </w:rPr>
            </w:r>
          </w:p>
        </w:tc>
      </w:tr>
    </w:tbl>
    <w:p>
      <w:pPr>
        <w:pStyle w:val="Normal"/>
        <w:bidi w:val="0"/>
        <w:rPr/>
      </w:pPr>
      <w:r>
        <w:rPr/>
      </w:r>
    </w:p>
    <w:tbl>
      <w:tblPr>
        <w:tblW w:w="9777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9727"/>
        <w:gridCol w:w="40"/>
        <w:gridCol w:w="10"/>
      </w:tblGrid>
      <w:tr>
        <w:trPr>
          <w:trHeight w:val="99" w:hRule="atLeast"/>
          <w:cantSplit w:val="true"/>
        </w:trPr>
        <w:tc>
          <w:tcPr>
            <w:tcW w:w="977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/>
              <w:ind w:left="-57" w:right="227" w:hanging="0"/>
              <w:jc w:val="left"/>
              <w:rPr>
                <w:b w:val="false"/>
                <w:bCs w:val="false"/>
                <w:sz w:val="21"/>
                <w:szCs w:val="21"/>
                <w:highlight w:val="white"/>
                <w:lang w:val="en-US"/>
              </w:rPr>
            </w:pPr>
            <w:r>
              <w:rPr>
                <w:b w:val="false"/>
                <w:bCs w:val="false"/>
                <w:sz w:val="21"/>
                <w:szCs w:val="21"/>
                <w:highlight w:val="white"/>
                <w:lang w:val="en-US"/>
              </w:rPr>
              <w:t>Дополнительная информация</w:t>
            </w:r>
          </w:p>
        </w:tc>
      </w:tr>
      <w:tr>
        <w:trPr>
          <w:trHeight w:val="99" w:hRule="atLeast"/>
          <w:cantSplit w:val="true"/>
        </w:trPr>
        <w:tc>
          <w:tcPr>
            <w:tcW w:w="972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aragraph"/>
              <w:widowControl w:val="false"/>
              <w:suppressAutoHyphens w:val="true"/>
              <w:bidi w:val="0"/>
              <w:snapToGrid w:val="false"/>
              <w:spacing w:lineRule="auto" w:line="240" w:before="280" w:after="280"/>
              <w:ind w:left="57" w:right="0" w:hanging="0"/>
              <w:jc w:val="left"/>
              <w:textAlignment w:val="baseline"/>
              <w:rPr/>
            </w:pPr>
            <w:r>
              <w:rPr>
                <w:rStyle w:val="Normaltextrun"/>
                <w:b w:val="false"/>
                <w:bCs w:val="false"/>
                <w:sz w:val="21"/>
                <w:szCs w:val="21"/>
                <w:highlight w:val="white"/>
                <w:lang w:val="en-US"/>
              </w:rPr>
              <w:t>Счет и договор направить по адресу (или E-mail)_________________________________________________</w:t>
            </w:r>
            <w:r>
              <w:rPr>
                <w:rStyle w:val="Eop"/>
                <w:b w:val="false"/>
                <w:bCs w:val="false"/>
                <w:sz w:val="21"/>
                <w:szCs w:val="21"/>
                <w:highlight w:val="white"/>
                <w:lang w:val="en-US"/>
              </w:rPr>
              <w:t> </w:t>
            </w:r>
          </w:p>
          <w:p>
            <w:pPr>
              <w:pStyle w:val="Normal"/>
              <w:widowControl w:val="false"/>
              <w:bidi w:val="0"/>
              <w:spacing w:before="0" w:after="113"/>
              <w:ind w:left="0" w:right="-170" w:hanging="113"/>
              <w:rPr/>
            </w:pPr>
            <w:r>
              <w:rPr>
                <w:rFonts w:eastAsia="Times New Roman"/>
                <w:b/>
                <w:sz w:val="18"/>
                <w:szCs w:val="18"/>
                <w:highlight w:val="white"/>
              </w:rPr>
              <w:t xml:space="preserve">  </w:t>
            </w:r>
            <w:r>
              <w:rPr>
                <w:rFonts w:eastAsia="Times New Roman"/>
                <w:kern w:val="0"/>
                <w:sz w:val="21"/>
                <w:szCs w:val="21"/>
                <w:highlight w:val="white"/>
              </w:rPr>
              <w:t>Контактное лицо</w:t>
            </w:r>
            <w:r>
              <w:rPr>
                <w:rFonts w:eastAsia="Times New Roman"/>
                <w:kern w:val="0"/>
                <w:sz w:val="21"/>
                <w:szCs w:val="21"/>
                <w:highlight w:val="white"/>
                <w:vertAlign w:val="superscript"/>
              </w:rPr>
              <w:t>1</w:t>
            </w:r>
            <w:r>
              <w:rPr>
                <w:sz w:val="21"/>
                <w:szCs w:val="21"/>
                <w:highlight w:val="white"/>
              </w:rPr>
              <w:t xml:space="preserve"> по заявке______________________ Тел. ______________ Эл. почта___________________;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/>
                <w:sz w:val="14"/>
                <w:szCs w:val="14"/>
                <w:highlight w:val="white"/>
              </w:rPr>
              <w:t xml:space="preserve">            </w:t>
            </w:r>
            <w:r>
              <w:rPr>
                <w:sz w:val="14"/>
                <w:szCs w:val="14"/>
                <w:highlight w:val="white"/>
              </w:rPr>
              <w:tab/>
              <w:t xml:space="preserve">                                                     </w:t>
            </w:r>
            <w:r>
              <w:rPr>
                <w:i/>
                <w:iCs/>
                <w:sz w:val="14"/>
                <w:szCs w:val="14"/>
                <w:highlight w:val="white"/>
              </w:rPr>
              <w:t>ФИО, Подпись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</w:r>
          </w:p>
          <w:p>
            <w:pPr>
              <w:pStyle w:val="Normal"/>
              <w:widowControl w:val="false"/>
              <w:bidi w:val="0"/>
              <w:spacing w:before="0" w:after="113"/>
              <w:ind w:left="0" w:right="-170" w:hanging="0"/>
              <w:jc w:val="left"/>
              <w:rPr/>
            </w:pPr>
            <w:r>
              <w:rPr>
                <w:rFonts w:eastAsia="Times New Roman"/>
                <w:kern w:val="0"/>
                <w:sz w:val="21"/>
                <w:szCs w:val="21"/>
                <w:highlight w:val="white"/>
              </w:rPr>
              <w:t xml:space="preserve">  </w:t>
            </w:r>
            <w:r>
              <w:rPr>
                <w:rFonts w:eastAsia="Times New Roman"/>
                <w:kern w:val="0"/>
                <w:sz w:val="21"/>
                <w:szCs w:val="21"/>
                <w:highlight w:val="white"/>
              </w:rPr>
              <w:t>Уполномоченное лицо</w:t>
            </w:r>
            <w:r>
              <w:rPr>
                <w:rFonts w:eastAsia="Times New Roman"/>
                <w:kern w:val="0"/>
                <w:sz w:val="21"/>
                <w:szCs w:val="21"/>
                <w:highlight w:val="white"/>
                <w:vertAlign w:val="superscript"/>
              </w:rPr>
              <w:t>1</w:t>
            </w:r>
            <w:r>
              <w:rPr>
                <w:sz w:val="21"/>
                <w:szCs w:val="21"/>
                <w:highlight w:val="white"/>
              </w:rPr>
              <w:t xml:space="preserve"> ______________________________ 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eastAsia="Times New Roman"/>
                <w:sz w:val="14"/>
                <w:szCs w:val="14"/>
                <w:highlight w:val="white"/>
              </w:rPr>
              <w:t xml:space="preserve">            </w:t>
            </w:r>
            <w:r>
              <w:rPr>
                <w:sz w:val="14"/>
                <w:szCs w:val="14"/>
                <w:highlight w:val="white"/>
              </w:rPr>
              <w:tab/>
              <w:t xml:space="preserve">                                                     </w:t>
            </w:r>
            <w:r>
              <w:rPr>
                <w:i/>
                <w:iCs/>
                <w:sz w:val="14"/>
                <w:szCs w:val="14"/>
                <w:highlight w:val="white"/>
              </w:rPr>
              <w:t>ФИО, Подпись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Примечания: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eastAsia="Times New Roman"/>
                <w:kern w:val="0"/>
                <w:sz w:val="16"/>
                <w:szCs w:val="16"/>
                <w:highlight w:val="white"/>
              </w:rPr>
              <w:t xml:space="preserve">1) </w:t>
            </w:r>
            <w:r>
              <w:rPr>
                <w:sz w:val="16"/>
                <w:szCs w:val="16"/>
                <w:highlight w:val="white"/>
              </w:rPr>
              <w:t>При подписании з</w:t>
            </w:r>
            <w:r>
              <w:rPr>
                <w:rFonts w:eastAsia="Times New Roman"/>
                <w:color w:val="000000"/>
                <w:kern w:val="0"/>
                <w:sz w:val="16"/>
                <w:szCs w:val="16"/>
                <w:highlight w:val="white"/>
              </w:rPr>
              <w:t>аказчик дает согласие на обработку его персональных данных, указанных в настоящей заявке и предоставляемой им документации.</w:t>
            </w:r>
          </w:p>
          <w:p>
            <w:pPr>
              <w:pStyle w:val="Normal"/>
              <w:widowControl w:val="false"/>
              <w:bidi w:val="0"/>
              <w:snapToGrid w:val="false"/>
              <w:jc w:val="both"/>
              <w:rPr/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highlight w:val="white"/>
              </w:rPr>
              <w:t xml:space="preserve">2) </w:t>
            </w:r>
            <w:r>
              <w:rPr>
                <w:rFonts w:eastAsia="Times New Roman"/>
                <w:color w:val="000000"/>
                <w:kern w:val="0"/>
                <w:sz w:val="16"/>
                <w:szCs w:val="16"/>
              </w:rPr>
              <w:t>По согласованию с исполнителем к заявке от заказчика могут потребоваться следующие документы: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0" w:right="0" w:firstLine="567"/>
              <w:jc w:val="both"/>
              <w:rPr/>
            </w:pPr>
            <w:r>
              <w:rPr>
                <w:rFonts w:eastAsia="OpenSymbol;Arial Unicode MS" w:cs="OpenSymbol;Arial Unicode MS" w:ascii="OpenSymbol;Arial Unicode MS" w:hAnsi="OpenSymbol;Arial Unicode MS"/>
                <w:sz w:val="16"/>
                <w:szCs w:val="16"/>
              </w:rPr>
              <w:t>─</w:t>
            </w: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eastAsia="OpenSymbol;Arial Unicode MS" w:cs="Times New Roman" w:ascii="Times New Roman" w:hAnsi="Times New Roman"/>
                <w:sz w:val="16"/>
                <w:szCs w:val="16"/>
              </w:rPr>
              <w:t xml:space="preserve">опросный лист, </w:t>
            </w:r>
            <w:r>
              <w:rPr>
                <w:rStyle w:val="Normaltextrun"/>
                <w:rFonts w:eastAsia="OpenSymbol;Arial Unicode MS" w:cs="Times New Roman" w:ascii="Times New Roman" w:hAnsi="Times New Roman"/>
                <w:sz w:val="16"/>
                <w:szCs w:val="16"/>
              </w:rPr>
              <w:t>заполненный и заверенный подписью заказчика</w:t>
            </w:r>
            <w:r>
              <w:rPr>
                <w:rFonts w:eastAsia="OpenSymbol;Arial Unicode MS" w:cs="Times New Roman" w:ascii="Times New Roman" w:hAnsi="Times New Roman"/>
                <w:sz w:val="16"/>
                <w:szCs w:val="16"/>
              </w:rPr>
              <w:t>;</w:t>
            </w:r>
          </w:p>
          <w:p>
            <w:pPr>
              <w:pStyle w:val="Style31"/>
              <w:widowControl w:val="false"/>
              <w:suppressAutoHyphens w:val="true"/>
              <w:bidi w:val="0"/>
              <w:spacing w:before="0" w:after="0"/>
              <w:ind w:left="0" w:right="0" w:firstLine="567"/>
              <w:jc w:val="both"/>
              <w:rPr/>
            </w:pPr>
            <w:r>
              <w:rPr>
                <w:rFonts w:eastAsia="OpenSymbol;Arial Unicode MS" w:cs="OpenSymbol;Arial Unicode MS" w:ascii="OpenSymbol;Arial Unicode MS" w:hAnsi="OpenSymbol;Arial Unicode MS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─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копия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акта измерений внутреннего диаметра трубопровода;</w:t>
            </w:r>
          </w:p>
          <w:p>
            <w:pPr>
              <w:pStyle w:val="Style31"/>
              <w:widowControl w:val="false"/>
              <w:suppressAutoHyphens w:val="true"/>
              <w:bidi w:val="0"/>
              <w:spacing w:before="0" w:after="0"/>
              <w:ind w:left="0" w:right="0" w:firstLine="567"/>
              <w:jc w:val="both"/>
              <w:rPr/>
            </w:pPr>
            <w:r>
              <w:rPr>
                <w:rFonts w:eastAsia="OpenSymbol;Arial Unicode MS" w:cs="OpenSymbol;Arial Unicode MS" w:ascii="OpenSymbol;Arial Unicode MS" w:hAnsi="OpenSymbol;Arial Unicode MS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─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копии руководств по эксплуатации, паспортов на СИ и вспомогательные устройства;</w:t>
            </w:r>
          </w:p>
          <w:p>
            <w:pPr>
              <w:pStyle w:val="Style31"/>
              <w:widowControl w:val="false"/>
              <w:suppressAutoHyphens w:val="true"/>
              <w:bidi w:val="0"/>
              <w:spacing w:before="0" w:after="0"/>
              <w:ind w:left="0" w:right="0" w:firstLine="567"/>
              <w:jc w:val="both"/>
              <w:rPr/>
            </w:pPr>
            <w:r>
              <w:rPr>
                <w:rFonts w:eastAsia="OpenSymbol;Arial Unicode MS" w:cs="OpenSymbol;Arial Unicode MS" w:ascii="OpenSymbol;Arial Unicode MS" w:hAnsi="OpenSymbol;Arial Unicode MS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─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копия чертежа (схемы) измерительного трубопровода;</w:t>
            </w:r>
          </w:p>
          <w:p>
            <w:pPr>
              <w:pStyle w:val="Style31"/>
              <w:widowControl w:val="false"/>
              <w:suppressAutoHyphens w:val="true"/>
              <w:bidi w:val="0"/>
              <w:spacing w:before="0" w:after="0"/>
              <w:ind w:left="0" w:right="0" w:firstLine="567"/>
              <w:jc w:val="both"/>
              <w:rPr/>
            </w:pPr>
            <w:r>
              <w:rPr>
                <w:rFonts w:eastAsia="OpenSymbol;Arial Unicode MS" w:cs="OpenSymbol;Arial Unicode MS" w:ascii="OpenSymbol;Arial Unicode MS" w:hAnsi="OpenSymbol;Arial Unicode MS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─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сведения о результатах поверки СИ (сведения из ФГИС «Аршин»);</w:t>
            </w:r>
          </w:p>
          <w:p>
            <w:pPr>
              <w:pStyle w:val="Style31"/>
              <w:widowControl w:val="false"/>
              <w:suppressAutoHyphens w:val="true"/>
              <w:bidi w:val="0"/>
              <w:spacing w:before="0" w:after="0"/>
              <w:ind w:left="0" w:right="0" w:firstLine="567"/>
              <w:jc w:val="both"/>
              <w:rPr/>
            </w:pPr>
            <w:r>
              <w:rPr>
                <w:rFonts w:eastAsia="OpenSymbol;Arial Unicode MS" w:cs="OpenSymbol;Arial Unicode MS" w:ascii="OpenSymbol;Arial Unicode MS" w:hAnsi="OpenSymbol;Arial Unicode MS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─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копия паспорта качества газа;</w:t>
            </w:r>
          </w:p>
          <w:p>
            <w:pPr>
              <w:pStyle w:val="Style31"/>
              <w:widowControl w:val="false"/>
              <w:suppressAutoHyphens w:val="true"/>
              <w:bidi w:val="0"/>
              <w:spacing w:before="0" w:after="0"/>
              <w:ind w:left="0" w:right="0" w:firstLine="567"/>
              <w:jc w:val="both"/>
              <w:rPr/>
            </w:pPr>
            <w:r>
              <w:rPr>
                <w:rFonts w:eastAsia="OpenSymbol;Arial Unicode MS" w:cs="OpenSymbol;Arial Unicode MS" w:ascii="OpenSymbol;Arial Unicode MS" w:hAnsi="OpenSymbol;Arial Unicode MS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─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6"/>
                <w:szCs w:val="16"/>
              </w:rPr>
              <w:t>копия технических условий на подключение.</w:t>
            </w:r>
          </w:p>
          <w:p>
            <w:pPr>
              <w:pStyle w:val="Style31"/>
              <w:widowControl w:val="false"/>
              <w:tabs>
                <w:tab w:val="clear" w:pos="709"/>
                <w:tab w:val="left" w:pos="993" w:leader="none"/>
              </w:tabs>
              <w:suppressAutoHyphens w:val="true"/>
              <w:bidi w:val="0"/>
              <w:snapToGrid w:val="false"/>
              <w:spacing w:before="0" w:after="0"/>
              <w:ind w:left="0" w:right="0" w:firstLine="567"/>
              <w:jc w:val="both"/>
              <w:rPr/>
            </w:pPr>
            <w:r>
              <w:rPr>
                <w:rFonts w:eastAsia="OpenSymbol;Arial Unicode MS" w:cs="OpenSymbol;Arial Unicode MS" w:ascii="OpenSymbol;Arial Unicode MS" w:hAnsi="OpenSymbol;Arial Unicode MS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6"/>
                <w:szCs w:val="16"/>
                <w:shd w:fill="auto" w:val="clear"/>
                <w:lang w:val="ru-RU" w:eastAsia="zh-CN" w:bidi="ar-SA"/>
              </w:rPr>
              <w:t>─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6"/>
                <w:szCs w:val="16"/>
                <w:shd w:fill="auto" w:val="clear"/>
                <w:lang w:val="ru-RU" w:eastAsia="zh-CN" w:bidi="ar-SA"/>
              </w:rPr>
              <w:t xml:space="preserve"> </w:t>
            </w:r>
            <w:r>
              <w:rPr>
                <w:rFonts w:eastAsia="Lucida Sans Unicode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6"/>
                <w:szCs w:val="16"/>
                <w:shd w:fill="auto" w:val="clear"/>
                <w:lang w:val="ru-RU" w:eastAsia="zh-CN" w:bidi="ar-SA"/>
              </w:rPr>
              <w:t>справка о параметрах газопотребления.</w:t>
            </w:r>
          </w:p>
          <w:p>
            <w:pPr>
              <w:pStyle w:val="Style31"/>
              <w:widowControl w:val="false"/>
              <w:tabs>
                <w:tab w:val="clear" w:pos="709"/>
                <w:tab w:val="left" w:pos="993" w:leader="none"/>
              </w:tabs>
              <w:suppressAutoHyphens w:val="true"/>
              <w:bidi w:val="0"/>
              <w:snapToGrid w:val="false"/>
              <w:spacing w:before="0" w:after="0"/>
              <w:ind w:left="0" w:right="0" w:hanging="0"/>
              <w:jc w:val="left"/>
              <w:rPr/>
            </w:pPr>
            <w:r>
              <w:rPr>
                <w:rFonts w:eastAsia="Lucida Sans Unicode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6"/>
                <w:szCs w:val="16"/>
                <w:shd w:fill="auto" w:val="clear"/>
                <w:lang w:val="ru-RU" w:eastAsia="zh-CN" w:bidi="ar-SA"/>
              </w:rPr>
              <w:t xml:space="preserve">3)  </w:t>
            </w:r>
            <w:r>
              <w:rPr>
                <w:rFonts w:eastAsia="Lucida Sans Unicode" w:cs="Times New Roman" w:ascii="Times New Roman" w:hAnsi="Times New Roman"/>
                <w:b w:val="false"/>
                <w:i w:val="false"/>
                <w:caps w:val="false"/>
                <w:smallCaps w:val="false"/>
                <w:color w:val="212529"/>
                <w:spacing w:val="0"/>
                <w:kern w:val="2"/>
                <w:sz w:val="16"/>
                <w:szCs w:val="16"/>
                <w:shd w:fill="auto" w:val="clear"/>
                <w:lang w:val="ru-RU" w:eastAsia="zh-CN" w:bidi="ar-SA"/>
              </w:rPr>
              <w:t>При отсутствии акта измерения могут быть проведены</w:t>
            </w:r>
            <w:r>
              <w:rPr>
                <w:rFonts w:eastAsia="Lucida Sans Unicode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16"/>
                <w:szCs w:val="16"/>
                <w:shd w:fill="auto" w:val="clear"/>
                <w:lang w:val="ru-RU" w:eastAsia="zh-CN" w:bidi="ar-SA"/>
              </w:rPr>
              <w:t xml:space="preserve"> ФБУ «Тюменский ЦСМ» с выдачей документа установленной формы (при необходимости указать в «Дополнительной информации»). </w:t>
            </w:r>
          </w:p>
        </w:tc>
        <w:tc>
          <w:tcPr>
            <w:tcW w:w="4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bidi w:val="0"/>
              <w:snapToGrid w:val="false"/>
              <w:rPr/>
            </w:pPr>
            <w:r>
              <w:rPr/>
            </w:r>
          </w:p>
        </w:tc>
        <w:tc>
          <w:tcPr>
            <w:tcW w:w="1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DefaultParagraphFont">
    <w:name w:val="Default Paragraph Font"/>
    <w:qFormat/>
    <w:rPr/>
  </w:style>
  <w:style w:type="character" w:styleId="Normaltextrun">
    <w:name w:val="normaltextrun"/>
    <w:basedOn w:val="DefaultParagraphFont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Eop">
    <w:name w:val="eop"/>
    <w:basedOn w:val="DefaultParagraphFont"/>
    <w:qFormat/>
    <w:rPr/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Indent"/>
    <w:basedOn w:val="Style31"/>
    <w:qFormat/>
    <w:pPr>
      <w:ind w:left="0" w:right="0" w:hanging="0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Salutation"/>
    <w:basedOn w:val="Normal"/>
    <w:pPr/>
    <w:rPr/>
  </w:style>
  <w:style w:type="paragraph" w:styleId="Style41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2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1"/>
    <w:qFormat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2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2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2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2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2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2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2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2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2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2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2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2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2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2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2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2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2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2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2"/>
    <w:qFormat/>
    <w:pPr>
      <w:spacing w:before="0" w:after="0"/>
      <w:ind w:left="0" w:right="0" w:hanging="0"/>
    </w:pPr>
    <w:rPr/>
  </w:style>
  <w:style w:type="paragraph" w:styleId="Style43">
    <w:name w:val="Index Heading"/>
    <w:basedOn w:val="Style30"/>
    <w:pPr>
      <w:ind w:left="0" w:right="0" w:hanging="0"/>
    </w:pPr>
    <w:rPr/>
  </w:style>
  <w:style w:type="paragraph" w:styleId="16">
    <w:name w:val="Index 1"/>
    <w:basedOn w:val="Style34"/>
    <w:pPr>
      <w:ind w:left="0" w:right="0" w:hanging="0"/>
    </w:pPr>
    <w:rPr/>
  </w:style>
  <w:style w:type="paragraph" w:styleId="26">
    <w:name w:val="Index 2"/>
    <w:basedOn w:val="Style34"/>
    <w:pPr>
      <w:ind w:left="0" w:right="0" w:hanging="0"/>
    </w:pPr>
    <w:rPr/>
  </w:style>
  <w:style w:type="paragraph" w:styleId="36">
    <w:name w:val="Index 3"/>
    <w:basedOn w:val="Style34"/>
    <w:pPr>
      <w:ind w:left="0" w:right="0" w:hanging="0"/>
    </w:pPr>
    <w:rPr/>
  </w:style>
  <w:style w:type="paragraph" w:styleId="Style44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5">
    <w:name w:val="TOC Heading"/>
    <w:basedOn w:val="Style30"/>
    <w:next w:val="17"/>
    <w:pPr>
      <w:ind w:left="0" w:right="0" w:hanging="0"/>
    </w:pPr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0"/>
    <w:qFormat/>
    <w:pPr>
      <w:ind w:left="0" w:right="0" w:hanging="0"/>
    </w:pPr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0"/>
    <w:qFormat/>
    <w:pPr>
      <w:ind w:left="0" w:right="0" w:hanging="0"/>
    </w:pPr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0"/>
    <w:qFormat/>
    <w:pPr>
      <w:ind w:left="0" w:right="0" w:hanging="0"/>
    </w:pPr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3"/>
    <w:qFormat/>
    <w:pPr/>
    <w:rPr/>
  </w:style>
  <w:style w:type="paragraph" w:styleId="Style59">
    <w:name w:val="Таблица"/>
    <w:basedOn w:val="Style33"/>
    <w:qFormat/>
    <w:pPr/>
    <w:rPr/>
  </w:style>
  <w:style w:type="paragraph" w:styleId="Style60">
    <w:name w:val="Текст"/>
    <w:basedOn w:val="Style33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3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paragraph" w:styleId="Paragraph">
    <w:name w:val="paragraph"/>
    <w:basedOn w:val="Normal"/>
    <w:qFormat/>
    <w:pPr>
      <w:spacing w:before="280" w:after="280"/>
      <w:jc w:val="left"/>
    </w:pPr>
    <w:rPr>
      <w:rFonts w:eastAsia="Times New Roman" w:cs="Times New Roman"/>
      <w:sz w:val="24"/>
      <w:szCs w:val="24"/>
      <w:lang w:eastAsia="ru-RU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ированный •"/>
    <w:qFormat/>
  </w:style>
  <w:style w:type="numbering" w:styleId="Style74">
    <w:name w:val="Маркированный –"/>
    <w:qFormat/>
  </w:style>
  <w:style w:type="numbering" w:styleId="Style75">
    <w:name w:val="Маркированный "/>
    <w:qFormat/>
  </w:style>
  <w:style w:type="numbering" w:styleId="Style76">
    <w:name w:val="Маркированный "/>
    <w:qFormat/>
  </w:style>
  <w:style w:type="numbering" w:styleId="Style77">
    <w:name w:val="Маркированный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LibreOffice/7.5.6.2$Linux_X86_64 LibreOffice_project/50$Build-2</Application>
  <AppVersion>15.0000</AppVersion>
  <Pages>1</Pages>
  <Words>236</Words>
  <Characters>1772</Characters>
  <CharactersWithSpaces>2113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2026-01-29T09:21:48Z</dcterms:created>
  <dc:creator>poverka-ci7</dc:creator>
  <dc:description/>
  <dc:language>ru-RU</dc:language>
  <cp:lastModifiedBy>Poverka-ci6</cp:lastModifiedBy>
  <dcterms:modified xsi:type="dcterms:W3CDTF">2026-01-29T09:37:03Z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