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i/>
          <w:iCs/>
          <w:sz w:val="24"/>
          <w:szCs w:val="24"/>
        </w:rPr>
        <w:t>екомендуемый образец формы заявки на рассмотрение конструкторской, технологической и (или) технической документации средства измерений на предмет соответствия сведений об утвержденном типе средств измерений конструкторской, технологической и (или) технической документации средства измерений и отсутствия в ней изменений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510"/>
        <w:gridCol w:w="3584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Исх. </w:t>
            </w: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 xml:space="preserve">И.о. директора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_________В.Н. Соломину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Прошу рассмотреть конструкторскую, технологическую и (или) техническую документацию средства измерений</w:t>
      </w:r>
      <w:r>
        <w:rPr>
          <w:rFonts w:ascii="Times New Roman" w:hAnsi="Times New Roman"/>
        </w:rPr>
        <w:t xml:space="preserve"> </w:t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изготавливаемого в следующих модификациях (исполнениях):</w:t>
      </w:r>
      <w:r>
        <w:rPr>
          <w:rFonts w:ascii="Times New Roman" w:hAnsi="Times New Roman"/>
        </w:rPr>
        <w:t xml:space="preserve"> </w:t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 предмет соответствия сведений об утвержденном типе средств измерений, содержащихся в Федеральном информационном фонде по обеспечению единства измерений, конструкторской, технологической и (или) технической документации средства измерений и подтвердить отсутствие в ней неучтенных изменений в связи с продлением срока действия утвержденного типа средства измерений.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Сведения о документах, по которым осуществляется изготовление средства измерений</w:t>
      </w:r>
      <w:r>
        <w:rPr>
          <w:rStyle w:val="Style8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обозначение и наименование технических условия, стандарта предприятия, 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документа по стандартизации, содержащего общие требования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Изменения в указанную документацию: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указываются вносились или не вносились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изменения относительно сведений, содержащихся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Метрологические и технические характеристики: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указываются сведения о метрологических и технических характеристиках средства измерений, выпускаемых из производства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Сведения о документе на методику поверки</w:t>
      </w:r>
      <w:r>
        <w:rPr>
          <w:rStyle w:val="Style8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обозначение и наименование методики поверки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 Органами федерального государственного метрологического надзора за завершающийся период 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действия утверждения типа претензии, связанные с выпуском в обращение средств измерений данного типа, не предъявлялись.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 Обращений потребителей с претензиями к качеству утвержденного типа средств измерений за завершающийся период действия утверждения типа не поступало.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 Дополнительные сведения о юридическом лице или индивидуальном предпринимателе, подавшем заявку</w:t>
      </w:r>
      <w:r>
        <w:rPr>
          <w:rStyle w:val="Style8"/>
          <w:rFonts w:ascii="Times New Roman" w:hAnsi="Times New Roman"/>
          <w:sz w:val="24"/>
          <w:szCs w:val="24"/>
        </w:rPr>
        <w:footnoteReference w:id="5"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Оплату работ по рассмотрению конструкторской, технологической и (или) технической документации средства измерений, гарантирую.</w:t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Реквизиты плательщика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получателя, расчётный счёт с указанием Банка, БИК, ИНН, ОГРН,  КПП, ОКТМО, КБК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Документ, подтверждающий полномочия Заявителя подавать заявку (доверенность)</w:t>
      </w:r>
      <w:r>
        <w:rPr>
          <w:rStyle w:val="Style8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Комплект конструкторской, технологической и (или) технической документацию средства измерений, включая руководство по эксплуатации, формуляр, паспорт;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Фотографии общего вида.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/>
      </w:pPr>
      <w:r>
        <w:rPr/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567" w:gutter="0" w:header="0" w:top="1134" w:footer="1134" w:bottom="1739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1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производства, для средств измерений единичного производства в добровольном порядке.</w:t>
      </w:r>
    </w:p>
  </w:footnote>
  <w:footnote w:id="4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при наличии методики поверки для группы аналогичных средств измерений, содержащийся в документе по стандартизации или в методике института,  в случае необходимости разработки индивидуальной методики поверки в соответствии с приказом Минпромторга России от 28.08.2020 № 2907 указывается «необходимо разработать».</w:t>
      </w:r>
    </w:p>
  </w:footnote>
  <w:footnote w:id="5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предпринимателя.</w:t>
      </w:r>
    </w:p>
  </w:footnote>
  <w:footnote w:id="6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Прилагается в случае подачи заявки уполномоченным лицом.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</TotalTime>
  <Application>LibreOffice/7.5.6.2$Linux_X86_64 LibreOffice_project/50$Build-2</Application>
  <AppVersion>15.0000</AppVersion>
  <Pages>2</Pages>
  <Words>442</Words>
  <Characters>3388</Characters>
  <CharactersWithSpaces>3812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2025-08-05T11:23:17Z</dcterms:created>
  <dc:creator>poverka-ci7</dc:creator>
  <dc:description/>
  <dc:language>ru-RU</dc:language>
  <cp:lastModifiedBy>poverka-ci7</cp:lastModifiedBy>
  <dcterms:modified xsi:type="dcterms:W3CDTF">2025-08-05T17:30:54Z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