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Рекомендуемый образец формы заявки на проведение испытаний</w:t>
        <w:br/>
        <w:t xml:space="preserve">средств измерений в целях утверждения типа</w:t>
      </w:r>
      <w:r>
        <w:rPr>
          <w:rStyle w:val="728"/>
          <w:rFonts w:ascii="Times New Roman" w:hAnsi="Times New Roman"/>
          <w:sz w:val="24"/>
          <w:szCs w:val="24"/>
        </w:rPr>
        <w:footnoteReference w:id="2"/>
      </w:r>
      <w:r/>
    </w:p>
    <w:p>
      <w:pPr>
        <w:pStyle w:val="7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директора</w:t>
      </w:r>
      <w:r/>
    </w:p>
    <w:p>
      <w:pPr>
        <w:pStyle w:val="7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ФБУ «Тюменский ЦСМ»</w:t>
      </w:r>
      <w:r/>
    </w:p>
    <w:p>
      <w:pPr>
        <w:pStyle w:val="7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Д.С. Чередникову</w:t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Прошу провести испытания в целях утверждения типа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  <w:t xml:space="preserve">,</w:t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изготавливаемого в следующих модификациях (исполнения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72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: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1. Назначение средства измерений: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2. Область применения средства измерений: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3. Характер производства заявленных на испытания в целях утверждения типа средств измерений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4. Сведения о средствах измерений, подготовленных к представлению на испытания</w:t>
      </w:r>
      <w:r>
        <w:rPr>
          <w:rStyle w:val="72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5. Сведения о наличии программного продукта, используемого для получения результатов измерений </w:t>
        <w:tab/>
      </w:r>
      <w:r/>
    </w:p>
    <w:p>
      <w:pPr>
        <w:pStyle w:val="726"/>
        <w:jc w:val="center"/>
        <w:tabs>
          <w:tab w:val="clear" w:pos="709" w:leader="none"/>
          <w:tab w:val="right" w:pos="9638" w:leader="underscore"/>
        </w:tabs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его наличии, указывается наименование и идентификационные данные</w:t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6. Метрологические и технические характеристики: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указываются сведения о заявляемых метрологических и технических характеристиках средства измерений, включая показатели точности</w:t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7. Сведения о документе на методику поверки</w:t>
      </w:r>
      <w:r>
        <w:rPr>
          <w:rStyle w:val="72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: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8. Сведения о документах, по которым осуществляется изготовление средства измерений</w:t>
      </w:r>
      <w:r>
        <w:rPr>
          <w:rStyle w:val="72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9.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728"/>
          <w:rFonts w:ascii="Times New Roman" w:hAnsi="Times New Roman"/>
          <w:sz w:val="24"/>
          <w:szCs w:val="24"/>
        </w:rPr>
        <w:footnoteReference w:id="7"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keepNext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10. Сведения о наличии протоколов предварительных испытаний СИ: </w:t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11. Сведения об обязательных метрологических и технических требованиях к средствам измерений</w:t>
      </w:r>
      <w:r>
        <w:rPr>
          <w:rStyle w:val="728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12. Сведения о наличии уведомления о начале деятельности по производству средств измерений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13. Сведения о наличии заключения о подтверждении производства промышленной продукции на территории Российской Федерации, выданного Мипромторгом России</w:t>
      </w:r>
      <w:r>
        <w:rPr>
          <w:rStyle w:val="728"/>
          <w:rFonts w:ascii="Times New Roman" w:hAnsi="Times New Roman"/>
          <w:sz w:val="24"/>
          <w:szCs w:val="24"/>
        </w:rPr>
        <w:footnoteReference w:id="9"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14. 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</w:t>
      </w:r>
      <w:r>
        <w:rPr>
          <w:rStyle w:val="728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, и местах осуществления их деятельности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15. Дополнительные сведения о юридическом лице или индивидуальном предпринимателе, подавшем заявку</w:t>
      </w:r>
      <w:r>
        <w:rPr>
          <w:rStyle w:val="728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  <w:rPr>
          <w:rFonts w:ascii="Times New Roman" w:hAnsi="Times New Roman"/>
          <w:sz w:val="24"/>
          <w:szCs w:val="24"/>
        </w:rPr>
      </w:pPr>
      <w:r/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Оплату работ по проведению испытаний, включая оценку результатов испытаний, гарантирую.</w:t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 xml:space="preserve">Реквизиты плательщика </w:t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tabs>
          <w:tab w:val="clear" w:pos="709" w:leader="none"/>
          <w:tab w:val="right" w:pos="9638" w:leader="underscore"/>
        </w:tabs>
      </w:pPr>
      <w:r>
        <w:rPr>
          <w:rFonts w:ascii="Times New Roman" w:hAnsi="Times New Roman"/>
          <w:sz w:val="24"/>
          <w:szCs w:val="24"/>
        </w:rPr>
        <w:tab/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</w:t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Документ, подтверждающий полномочия Заявителя подавать заявку на проведение испытаний (доверенность)</w:t>
      </w:r>
      <w:r>
        <w:rPr>
          <w:rStyle w:val="728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Комплект эксплуатационных документов (руководство по эксплуатации, формуляр, паспорт);</w:t>
      </w:r>
      <w:r/>
    </w:p>
    <w:p>
      <w:pPr>
        <w:pStyle w:val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Фотографии общего вида.</w:t>
      </w:r>
      <w:r/>
    </w:p>
    <w:sectPr>
      <w:footnotePr>
        <w:numFmt w:val="decimal"/>
      </w:footnotePr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Arial">
    <w:panose1 w:val="020B0604020202020204"/>
  </w:font>
  <w:font w:name="Tahoma">
    <w:panose1 w:val="020B0604030504040204"/>
  </w:font>
  <w:font w:name="noto sans devanagari">
    <w:panose1 w:val="020B0604030504040204"/>
  </w:font>
  <w:font w:name="Liberation Serif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</w:t>
      </w:r>
      <w:r/>
    </w:p>
  </w:footnote>
  <w:footnote w:id="3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Указывается только при наличии в составе утверждаемого типа средства измерений модификаций (исполнений)</w:t>
      </w:r>
      <w:r/>
    </w:p>
  </w:footnote>
  <w:footnote w:id="4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При серийном производстве у</w:t>
      </w:r>
      <w:r>
        <w:t xml:space="preserve">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</w:t>
      </w:r>
      <w:r/>
    </w:p>
  </w:footnote>
  <w:footnote w:id="5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</w:t>
      </w:r>
      <w:r>
        <w:t xml:space="preserve">Минпромторга от 28.08.2020 N 2907</w:t>
      </w:r>
      <w:r/>
    </w:p>
  </w:footnote>
  <w:footnote w:id="6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Указываются только для средств измерений серийного производства, для средств измерений единичного производства в добровольном порядке</w:t>
      </w:r>
      <w:r/>
    </w:p>
  </w:footnote>
  <w:footnote w:id="7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Указываются только для средств измерений серийного производства</w:t>
      </w:r>
      <w:r/>
    </w:p>
  </w:footnote>
  <w:footnote w:id="8">
    <w:p>
      <w:pPr>
        <w:pStyle w:val="736"/>
        <w:jc w:val="left"/>
      </w:pPr>
      <w:r>
        <w:rPr>
          <w:rStyle w:val="727"/>
        </w:rPr>
        <w:footnoteRef/>
      </w:r>
      <w:r>
        <w:tab/>
        <w:t xml:space="preserve"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</w:t>
      </w:r>
      <w:r/>
    </w:p>
  </w:footnote>
  <w:footnote w:id="9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Указываются в добровольном порядке только для средств измерений серийного производства при наличии заключения</w:t>
      </w:r>
      <w:r/>
    </w:p>
  </w:footnote>
  <w:footnote w:id="10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Указываются только для средств измерений серийного производства</w:t>
      </w:r>
      <w:r/>
    </w:p>
  </w:footnote>
  <w:footnote w:id="11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Приводятся сведения, не указанные на бланке из состава следующих све</w:t>
      </w:r>
      <w:r>
        <w:t xml:space="preserve">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  <w:r/>
    </w:p>
  </w:footnote>
  <w:footnote w:id="12">
    <w:p>
      <w:pPr>
        <w:pStyle w:val="736"/>
        <w:ind w:left="340" w:hanging="340"/>
        <w:jc w:val="left"/>
        <w:suppressLineNumbers/>
      </w:pPr>
      <w:r>
        <w:rPr>
          <w:rStyle w:val="727"/>
        </w:rPr>
        <w:footnoteRef/>
      </w:r>
      <w:r>
        <w:tab/>
        <w:t xml:space="preserve">Прилагается в случае подачи заявки уполномоченным лицом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Noto Sans Devanagari" w:eastAsia="Tahoma" w:hint="default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26"/>
    <w:next w:val="72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26"/>
    <w:next w:val="72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26"/>
    <w:next w:val="72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26"/>
    <w:next w:val="72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26"/>
    <w:next w:val="72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6"/>
    <w:next w:val="72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6"/>
    <w:next w:val="72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6"/>
    <w:next w:val="72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6"/>
    <w:next w:val="72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26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26"/>
    <w:next w:val="72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26"/>
    <w:next w:val="72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26"/>
    <w:next w:val="72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6"/>
    <w:next w:val="72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2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2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73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736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2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26"/>
    <w:next w:val="72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6"/>
    <w:next w:val="72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6"/>
    <w:next w:val="72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6"/>
    <w:next w:val="72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6"/>
    <w:next w:val="72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6"/>
    <w:next w:val="72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6"/>
    <w:next w:val="72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6"/>
    <w:next w:val="72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6"/>
    <w:next w:val="72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6"/>
    <w:next w:val="726"/>
    <w:uiPriority w:val="99"/>
    <w:unhideWhenUsed/>
    <w:pPr>
      <w:spacing w:after="0" w:afterAutospacing="0"/>
    </w:pPr>
  </w:style>
  <w:style w:type="paragraph" w:styleId="726" w:default="1">
    <w:name w:val="Normal"/>
    <w:qFormat/>
    <w:pPr>
      <w:jc w:val="left"/>
      <w:spacing w:before="0" w:after="0"/>
      <w:widowControl/>
    </w:pPr>
    <w:rPr>
      <w:rFonts w:ascii="Liberation Serif" w:hAnsi="Liberation Serif" w:cs="Noto Sans Devanagari" w:eastAsia="Tahoma"/>
      <w:color w:val="auto"/>
      <w:sz w:val="24"/>
      <w:szCs w:val="24"/>
      <w:lang w:val="ru-RU" w:bidi="hi-IN" w:eastAsia="zh-CN"/>
    </w:rPr>
  </w:style>
  <w:style w:type="character" w:styleId="727">
    <w:name w:val="Символ сноски"/>
    <w:qFormat/>
  </w:style>
  <w:style w:type="character" w:styleId="728">
    <w:name w:val="Привязка сноски"/>
    <w:rPr>
      <w:vertAlign w:val="superscript"/>
    </w:rPr>
  </w:style>
  <w:style w:type="character" w:styleId="729">
    <w:name w:val="Привязка концевой сноски"/>
    <w:rPr>
      <w:vertAlign w:val="superscript"/>
    </w:rPr>
  </w:style>
  <w:style w:type="character" w:styleId="730">
    <w:name w:val="Символ концевой сноски"/>
    <w:qFormat/>
  </w:style>
  <w:style w:type="paragraph" w:styleId="731">
    <w:name w:val="Заголовок"/>
    <w:basedOn w:val="726"/>
    <w:next w:val="732"/>
    <w:qFormat/>
    <w:pPr>
      <w:keepNext/>
      <w:spacing w:before="240" w:after="120"/>
    </w:pPr>
    <w:rPr>
      <w:rFonts w:ascii="Liberation Sans" w:hAnsi="Liberation Sans" w:cs="Noto Sans Devanagari" w:eastAsia="Tahoma"/>
      <w:sz w:val="28"/>
      <w:szCs w:val="28"/>
    </w:rPr>
  </w:style>
  <w:style w:type="paragraph" w:styleId="732">
    <w:name w:val="Body Text"/>
    <w:basedOn w:val="726"/>
    <w:pPr>
      <w:spacing w:before="0" w:after="140" w:line="276" w:lineRule="auto"/>
    </w:pPr>
  </w:style>
  <w:style w:type="paragraph" w:styleId="733">
    <w:name w:val="List"/>
    <w:basedOn w:val="732"/>
    <w:rPr>
      <w:rFonts w:cs="Noto Sans Devanagari"/>
    </w:rPr>
  </w:style>
  <w:style w:type="paragraph" w:styleId="734">
    <w:name w:val="Caption"/>
    <w:basedOn w:val="726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735">
    <w:name w:val="Указатель"/>
    <w:basedOn w:val="726"/>
    <w:qFormat/>
    <w:pPr>
      <w:suppressLineNumbers/>
    </w:pPr>
    <w:rPr>
      <w:rFonts w:cs="Noto Sans Devanagari"/>
    </w:rPr>
  </w:style>
  <w:style w:type="paragraph" w:styleId="736">
    <w:name w:val="footnote text"/>
    <w:basedOn w:val="726"/>
    <w:pPr>
      <w:ind w:left="340" w:hanging="340"/>
      <w:suppressLineNumbers/>
    </w:pPr>
    <w:rPr>
      <w:sz w:val="20"/>
      <w:szCs w:val="20"/>
    </w:rPr>
  </w:style>
  <w:style w:type="character" w:styleId="1010" w:default="1">
    <w:name w:val="Default Paragraph Font"/>
    <w:uiPriority w:val="1"/>
    <w:semiHidden/>
    <w:unhideWhenUsed/>
  </w:style>
  <w:style w:type="numbering" w:styleId="1011" w:default="1">
    <w:name w:val="No List"/>
    <w:uiPriority w:val="99"/>
    <w:semiHidden/>
    <w:unhideWhenUsed/>
  </w:style>
  <w:style w:type="table" w:styleId="1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Евгеньевич Майоров</dc:creator>
  <dc:description/>
  <dc:language>ru-RU</dc:language>
  <cp:lastModifiedBy>Михаил Курилов</cp:lastModifiedBy>
  <cp:revision>4</cp:revision>
  <dcterms:created xsi:type="dcterms:W3CDTF">2022-11-14T08:00:55Z</dcterms:created>
  <dcterms:modified xsi:type="dcterms:W3CDTF">2023-02-22T06:10:24Z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